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13"/>
        <w:gridCol w:w="3458"/>
        <w:gridCol w:w="3458"/>
        <w:gridCol w:w="3458"/>
        <w:gridCol w:w="3458"/>
        <w:gridCol w:w="3458"/>
        <w:gridCol w:w="3458"/>
      </w:tblGrid>
      <w:tr w:rsidR="00866541" w14:paraId="752BC29F" w14:textId="77777777" w:rsidTr="1BD65F5D">
        <w:tc>
          <w:tcPr>
            <w:tcW w:w="22161" w:type="dxa"/>
            <w:gridSpan w:val="7"/>
            <w:shd w:val="clear" w:color="auto" w:fill="4472C4" w:themeFill="accent1"/>
          </w:tcPr>
          <w:p w14:paraId="3673024B" w14:textId="278D25B0" w:rsidR="00866541" w:rsidRPr="00B50B41" w:rsidRDefault="004C66DF">
            <w:pPr>
              <w:rPr>
                <w:b/>
                <w:bCs/>
                <w:color w:val="FFC000" w:themeColor="accent4"/>
              </w:rPr>
            </w:pPr>
            <w:r w:rsidRPr="00B50B41">
              <w:rPr>
                <w:b/>
                <w:bCs/>
                <w:color w:val="FFC000" w:themeColor="accent4"/>
                <w:sz w:val="36"/>
                <w:szCs w:val="36"/>
              </w:rPr>
              <w:t xml:space="preserve">Subject: </w:t>
            </w:r>
            <w:sdt>
              <w:sdtPr>
                <w:rPr>
                  <w:b/>
                  <w:bCs/>
                  <w:color w:val="FFC000" w:themeColor="accent4"/>
                  <w:sz w:val="36"/>
                  <w:szCs w:val="36"/>
                </w:rPr>
                <w:alias w:val="Subject"/>
                <w:tag w:val="Subject"/>
                <w:id w:val="-702942597"/>
                <w:lock w:val="sdtLocked"/>
                <w:placeholder>
                  <w:docPart w:val="DefaultPlaceholder_-1854013438"/>
                </w:placeholder>
                <w:dropDownList>
                  <w:listItem w:displayText="Choose Subject" w:value="Choose Subject"/>
                  <w:listItem w:displayText="English" w:value="English"/>
                  <w:listItem w:displayText="Maths" w:value="Maths"/>
                  <w:listItem w:displayText="Science" w:value="Science"/>
                  <w:listItem w:displayText="Physical Education" w:value="Physical Education"/>
                  <w:listItem w:displayText="Food Technology" w:value="Food Technology"/>
                  <w:listItem w:displayText="Arts" w:value="Arts"/>
                  <w:listItem w:displayText="PSHRE" w:value="PSHRE"/>
                  <w:listItem w:displayText="Religious Education" w:value="Religious Education"/>
                  <w:listItem w:displayText="Travel &amp; Tourism" w:value="Travel &amp; Tourism"/>
                </w:dropDownList>
              </w:sdtPr>
              <w:sdtEndPr/>
              <w:sdtContent>
                <w:r w:rsidR="00176C3D">
                  <w:rPr>
                    <w:b/>
                    <w:bCs/>
                    <w:color w:val="FFC000" w:themeColor="accent4"/>
                    <w:sz w:val="36"/>
                    <w:szCs w:val="36"/>
                  </w:rPr>
                  <w:t>Maths</w:t>
                </w:r>
              </w:sdtContent>
            </w:sdt>
          </w:p>
        </w:tc>
      </w:tr>
      <w:tr w:rsidR="0065526B" w14:paraId="590869C6" w14:textId="77777777" w:rsidTr="1BD65F5D">
        <w:trPr>
          <w:trHeight w:val="855"/>
        </w:trPr>
        <w:tc>
          <w:tcPr>
            <w:tcW w:w="1413" w:type="dxa"/>
            <w:shd w:val="clear" w:color="auto" w:fill="4472C4" w:themeFill="accent1"/>
          </w:tcPr>
          <w:p w14:paraId="751BE6CF" w14:textId="2EBFC8F1" w:rsidR="007C0F3C" w:rsidRPr="00B50B41" w:rsidRDefault="007C0F3C">
            <w:pPr>
              <w:rPr>
                <w:b/>
                <w:bCs/>
                <w:color w:val="FFC000" w:themeColor="accent4"/>
                <w:sz w:val="36"/>
                <w:szCs w:val="36"/>
              </w:rPr>
            </w:pPr>
          </w:p>
        </w:tc>
        <w:tc>
          <w:tcPr>
            <w:tcW w:w="3458" w:type="dxa"/>
          </w:tcPr>
          <w:p w14:paraId="4A72841E" w14:textId="60648929" w:rsidR="007C0F3C" w:rsidRPr="00B50B41" w:rsidRDefault="007C0F3C" w:rsidP="007C0F3C">
            <w:pPr>
              <w:jc w:val="center"/>
              <w:rPr>
                <w:b/>
                <w:bCs/>
                <w:sz w:val="32"/>
                <w:szCs w:val="32"/>
              </w:rPr>
            </w:pPr>
            <w:r w:rsidRPr="00B50B41">
              <w:rPr>
                <w:b/>
                <w:bCs/>
                <w:sz w:val="32"/>
                <w:szCs w:val="32"/>
              </w:rPr>
              <w:t>Autumn 1</w:t>
            </w:r>
          </w:p>
        </w:tc>
        <w:tc>
          <w:tcPr>
            <w:tcW w:w="3458" w:type="dxa"/>
          </w:tcPr>
          <w:p w14:paraId="2643428D" w14:textId="206E91E4" w:rsidR="007C0F3C" w:rsidRPr="00B50B41" w:rsidRDefault="007C0F3C" w:rsidP="007C0F3C">
            <w:pPr>
              <w:jc w:val="center"/>
              <w:rPr>
                <w:b/>
                <w:bCs/>
                <w:sz w:val="32"/>
                <w:szCs w:val="32"/>
              </w:rPr>
            </w:pPr>
            <w:r w:rsidRPr="00B50B41">
              <w:rPr>
                <w:b/>
                <w:bCs/>
                <w:sz w:val="32"/>
                <w:szCs w:val="32"/>
              </w:rPr>
              <w:t>Autumn 2</w:t>
            </w:r>
          </w:p>
        </w:tc>
        <w:tc>
          <w:tcPr>
            <w:tcW w:w="3458" w:type="dxa"/>
          </w:tcPr>
          <w:p w14:paraId="7D5CD1EB" w14:textId="4E01D345" w:rsidR="007C0F3C" w:rsidRPr="00B50B41" w:rsidRDefault="007C0F3C" w:rsidP="007C0F3C">
            <w:pPr>
              <w:jc w:val="center"/>
              <w:rPr>
                <w:b/>
                <w:bCs/>
                <w:sz w:val="32"/>
                <w:szCs w:val="32"/>
              </w:rPr>
            </w:pPr>
            <w:r w:rsidRPr="00B50B41">
              <w:rPr>
                <w:b/>
                <w:bCs/>
                <w:sz w:val="32"/>
                <w:szCs w:val="32"/>
              </w:rPr>
              <w:t>Spring 1</w:t>
            </w:r>
          </w:p>
        </w:tc>
        <w:tc>
          <w:tcPr>
            <w:tcW w:w="3458" w:type="dxa"/>
          </w:tcPr>
          <w:p w14:paraId="6CEE1523" w14:textId="5A9D5C07" w:rsidR="007C0F3C" w:rsidRPr="00B50B41" w:rsidRDefault="007C0F3C" w:rsidP="007C0F3C">
            <w:pPr>
              <w:jc w:val="center"/>
              <w:rPr>
                <w:b/>
                <w:bCs/>
                <w:sz w:val="32"/>
                <w:szCs w:val="32"/>
              </w:rPr>
            </w:pPr>
            <w:r w:rsidRPr="00B50B41">
              <w:rPr>
                <w:b/>
                <w:bCs/>
                <w:sz w:val="32"/>
                <w:szCs w:val="32"/>
              </w:rPr>
              <w:t>Spring 2</w:t>
            </w:r>
          </w:p>
        </w:tc>
        <w:tc>
          <w:tcPr>
            <w:tcW w:w="3458" w:type="dxa"/>
          </w:tcPr>
          <w:p w14:paraId="04ADC7CB" w14:textId="2E003617" w:rsidR="007C0F3C" w:rsidRPr="00B50B41" w:rsidRDefault="007C0F3C" w:rsidP="007C0F3C">
            <w:pPr>
              <w:jc w:val="center"/>
              <w:rPr>
                <w:b/>
                <w:bCs/>
                <w:sz w:val="32"/>
                <w:szCs w:val="32"/>
              </w:rPr>
            </w:pPr>
            <w:r w:rsidRPr="00B50B41">
              <w:rPr>
                <w:b/>
                <w:bCs/>
                <w:sz w:val="32"/>
                <w:szCs w:val="32"/>
              </w:rPr>
              <w:t>S</w:t>
            </w:r>
            <w:r w:rsidR="00F54B67" w:rsidRPr="00B50B41">
              <w:rPr>
                <w:b/>
                <w:bCs/>
                <w:sz w:val="32"/>
                <w:szCs w:val="32"/>
              </w:rPr>
              <w:t>ummer 1</w:t>
            </w:r>
          </w:p>
        </w:tc>
        <w:tc>
          <w:tcPr>
            <w:tcW w:w="3458" w:type="dxa"/>
          </w:tcPr>
          <w:p w14:paraId="5FF1C466" w14:textId="38904AE2" w:rsidR="007C0F3C" w:rsidRPr="00B50B41" w:rsidRDefault="00F54B67" w:rsidP="007C0F3C">
            <w:pPr>
              <w:jc w:val="center"/>
              <w:rPr>
                <w:b/>
                <w:bCs/>
                <w:sz w:val="32"/>
                <w:szCs w:val="32"/>
              </w:rPr>
            </w:pPr>
            <w:r w:rsidRPr="00B50B41">
              <w:rPr>
                <w:b/>
                <w:bCs/>
                <w:sz w:val="32"/>
                <w:szCs w:val="32"/>
              </w:rPr>
              <w:t>Summer 2</w:t>
            </w:r>
          </w:p>
        </w:tc>
      </w:tr>
      <w:tr w:rsidR="0065526B" w14:paraId="2AD0FE95" w14:textId="77777777" w:rsidTr="1BD65F5D">
        <w:trPr>
          <w:trHeight w:val="3780"/>
        </w:trPr>
        <w:tc>
          <w:tcPr>
            <w:tcW w:w="1413" w:type="dxa"/>
            <w:shd w:val="clear" w:color="auto" w:fill="4472C4" w:themeFill="accent1"/>
          </w:tcPr>
          <w:p w14:paraId="34431AD1" w14:textId="31C94F0F" w:rsidR="007C0F3C" w:rsidRPr="00B50B41" w:rsidRDefault="007C0F3C">
            <w:pPr>
              <w:rPr>
                <w:b/>
                <w:bCs/>
                <w:color w:val="FFC000" w:themeColor="accent4"/>
                <w:sz w:val="36"/>
                <w:szCs w:val="36"/>
              </w:rPr>
            </w:pPr>
            <w:r w:rsidRPr="00B50B41">
              <w:rPr>
                <w:b/>
                <w:bCs/>
                <w:color w:val="FFC000" w:themeColor="accent4"/>
                <w:sz w:val="36"/>
                <w:szCs w:val="36"/>
              </w:rPr>
              <w:t xml:space="preserve">Year </w:t>
            </w:r>
            <w:r w:rsidR="00892C88">
              <w:rPr>
                <w:b/>
                <w:bCs/>
                <w:color w:val="FFC000" w:themeColor="accent4"/>
                <w:sz w:val="36"/>
                <w:szCs w:val="36"/>
              </w:rPr>
              <w:t>10</w:t>
            </w:r>
          </w:p>
        </w:tc>
        <w:tc>
          <w:tcPr>
            <w:tcW w:w="3458" w:type="dxa"/>
          </w:tcPr>
          <w:p w14:paraId="341AB3D0" w14:textId="1CF865DB" w:rsidR="0023260A" w:rsidRDefault="0023260A">
            <w:r>
              <w:t>Unit Name:</w:t>
            </w:r>
          </w:p>
          <w:sdt>
            <w:sdtPr>
              <w:alias w:val="Unit Name"/>
              <w:tag w:val="Unit Name"/>
              <w:id w:val="-1618589858"/>
              <w:lock w:val="sdtLocked"/>
              <w:placeholder>
                <w:docPart w:val="DefaultPlaceholder_-1854013440"/>
              </w:placeholder>
              <w:showingPlcHdr/>
            </w:sdtPr>
            <w:sdtEndPr/>
            <w:sdtContent>
              <w:p w14:paraId="12D539A2" w14:textId="443EAEDF" w:rsidR="007C0F3C" w:rsidRDefault="1E85C0C6">
                <w:r>
                  <w:t>Ratios and Fractions</w:t>
                </w:r>
              </w:p>
              <w:p w14:paraId="7D034122" w14:textId="100A0F75" w:rsidR="1E85C0C6" w:rsidRDefault="1E85C0C6" w:rsidP="7E710AF3">
                <w:r>
                  <w:t>Percentage and Interest</w:t>
                </w:r>
              </w:p>
              <w:p w14:paraId="7F91500C" w14:textId="563986DD" w:rsidR="1E85C0C6" w:rsidRDefault="1E85C0C6" w:rsidP="7E710AF3">
                <w:r>
                  <w:t>Probability</w:t>
                </w:r>
              </w:p>
            </w:sdtContent>
          </w:sdt>
          <w:p w14:paraId="1AF74B23" w14:textId="77777777" w:rsidR="001E41EE" w:rsidRDefault="001E41EE">
            <w:r>
              <w:t>Unit Description</w:t>
            </w:r>
            <w:r w:rsidR="0023260A">
              <w:t>:</w:t>
            </w:r>
          </w:p>
          <w:sdt>
            <w:sdtPr>
              <w:id w:val="288099619"/>
              <w:placeholder>
                <w:docPart w:val="DefaultPlaceholder_-1854013440"/>
              </w:placeholder>
              <w:showingPlcHdr/>
            </w:sdtPr>
            <w:sdtEndPr/>
            <w:sdtContent>
              <w:p w14:paraId="04728D8D" w14:textId="1F0F1AA4" w:rsidR="0023260A" w:rsidRDefault="62756D95" w:rsidP="24BF98A8">
                <w:pPr>
                  <w:spacing w:line="259" w:lineRule="auto"/>
                  <w:rPr>
                    <w:rFonts w:ascii="Calibri" w:eastAsia="Calibri" w:hAnsi="Calibri" w:cs="Calibri"/>
                    <w:color w:val="000000" w:themeColor="text1"/>
                    <w:sz w:val="24"/>
                    <w:szCs w:val="24"/>
                  </w:rPr>
                </w:pPr>
                <w:r w:rsidRPr="24BF98A8">
                  <w:rPr>
                    <w:rFonts w:ascii="Calibri" w:eastAsia="Calibri" w:hAnsi="Calibri" w:cs="Calibri"/>
                    <w:b/>
                    <w:bCs/>
                    <w:color w:val="000000" w:themeColor="text1"/>
                    <w:sz w:val="24"/>
                    <w:szCs w:val="24"/>
                  </w:rPr>
                  <w:t xml:space="preserve">  </w:t>
                </w:r>
                <w:r w:rsidRPr="24BF98A8">
                  <w:rPr>
                    <w:rFonts w:ascii="Calibri" w:eastAsia="Calibri" w:hAnsi="Calibri" w:cs="Calibri"/>
                    <w:color w:val="000000" w:themeColor="text1"/>
                    <w:sz w:val="24"/>
                    <w:szCs w:val="24"/>
                  </w:rPr>
                  <w:t xml:space="preserve">Students will develop their knowledge of the ratios and fractions and build on their knowledge from KS3. </w:t>
                </w:r>
              </w:p>
              <w:p w14:paraId="5D349B74" w14:textId="39027938" w:rsidR="0023260A" w:rsidRDefault="62756D95" w:rsidP="24BF98A8">
                <w:pPr>
                  <w:spacing w:line="259" w:lineRule="auto"/>
                  <w:rPr>
                    <w:rFonts w:ascii="Calibri" w:eastAsia="Calibri" w:hAnsi="Calibri" w:cs="Calibri"/>
                    <w:color w:val="000000" w:themeColor="text1"/>
                  </w:rPr>
                </w:pPr>
                <w:r w:rsidRPr="24BF98A8">
                  <w:rPr>
                    <w:rFonts w:ascii="Calibri" w:eastAsia="Calibri" w:hAnsi="Calibri" w:cs="Calibri"/>
                    <w:b/>
                    <w:bCs/>
                    <w:color w:val="000000" w:themeColor="text1"/>
                  </w:rPr>
                  <w:t xml:space="preserve"> Percentages</w:t>
                </w:r>
                <w:r w:rsidRPr="24BF98A8">
                  <w:rPr>
                    <w:rFonts w:ascii="Calibri" w:eastAsia="Calibri" w:hAnsi="Calibri" w:cs="Calibri"/>
                    <w:color w:val="000000" w:themeColor="text1"/>
                  </w:rPr>
                  <w:t xml:space="preserve"> –Calculator methods as well as repeated methods, growth/change and decay. Financial contexts to get them used to this language needed for later on in life. </w:t>
                </w:r>
              </w:p>
              <w:p w14:paraId="02FD7FB2" w14:textId="2EC74AFF" w:rsidR="0023260A" w:rsidRDefault="62756D95" w:rsidP="24BF98A8">
                <w:pPr>
                  <w:spacing w:line="259" w:lineRule="auto"/>
                  <w:rPr>
                    <w:rFonts w:ascii="Calibri" w:eastAsia="Calibri" w:hAnsi="Calibri" w:cs="Calibri"/>
                    <w:b/>
                    <w:bCs/>
                    <w:color w:val="000000" w:themeColor="text1"/>
                    <w:sz w:val="24"/>
                    <w:szCs w:val="24"/>
                  </w:rPr>
                </w:pPr>
                <w:r w:rsidRPr="24BF98A8">
                  <w:rPr>
                    <w:rFonts w:ascii="Calibri" w:eastAsia="Calibri" w:hAnsi="Calibri" w:cs="Calibri"/>
                    <w:b/>
                    <w:bCs/>
                    <w:color w:val="000000" w:themeColor="text1"/>
                  </w:rPr>
                  <w:t xml:space="preserve"> Probability</w:t>
                </w:r>
                <w:r w:rsidRPr="24BF98A8">
                  <w:rPr>
                    <w:rFonts w:ascii="Calibri" w:eastAsia="Calibri" w:hAnsi="Calibri" w:cs="Calibri"/>
                    <w:color w:val="000000" w:themeColor="text1"/>
                  </w:rPr>
                  <w:t xml:space="preserve"> – students will practice their number skills to revisit conversion between fractions, decimals and percentages.</w:t>
                </w:r>
              </w:p>
              <w:p w14:paraId="0D68A663" w14:textId="17031BF5" w:rsidR="0023260A" w:rsidRDefault="009C6822" w:rsidP="24BF98A8"/>
            </w:sdtContent>
          </w:sdt>
        </w:tc>
        <w:tc>
          <w:tcPr>
            <w:tcW w:w="3458" w:type="dxa"/>
          </w:tcPr>
          <w:p w14:paraId="0B974A57" w14:textId="77777777" w:rsidR="0023260A" w:rsidRDefault="0023260A" w:rsidP="0023260A">
            <w:r>
              <w:t>Unit Name:</w:t>
            </w:r>
          </w:p>
          <w:sdt>
            <w:sdtPr>
              <w:alias w:val="Unit Name"/>
              <w:tag w:val="Unit Name"/>
              <w:id w:val="-1782717482"/>
              <w:placeholder>
                <w:docPart w:val="FE388924C7014A278C6170074730A7D1"/>
              </w:placeholder>
              <w:showingPlcHdr/>
            </w:sdtPr>
            <w:sdtEndPr/>
            <w:sdtContent>
              <w:p w14:paraId="460B99E9" w14:textId="2FFBEF8D" w:rsidR="0023260A" w:rsidRDefault="034BCEF7" w:rsidP="0023260A">
                <w:r>
                  <w:t>Represent Solutions of equations and inequalities</w:t>
                </w:r>
              </w:p>
              <w:p w14:paraId="7294DFF1" w14:textId="39110B9F" w:rsidR="034BCEF7" w:rsidRDefault="034BCEF7" w:rsidP="7E710AF3">
                <w:r>
                  <w:t>Angles and Bearings</w:t>
                </w:r>
              </w:p>
              <w:p w14:paraId="18A216E8" w14:textId="3422C746" w:rsidR="034BCEF7" w:rsidRDefault="034BCEF7" w:rsidP="7E710AF3">
                <w:r>
                  <w:t>Vectors</w:t>
                </w:r>
              </w:p>
            </w:sdtContent>
          </w:sdt>
          <w:p w14:paraId="461C6339" w14:textId="77777777" w:rsidR="0023260A" w:rsidRDefault="0023260A" w:rsidP="0023260A">
            <w:r>
              <w:t>Unit Description:</w:t>
            </w:r>
          </w:p>
          <w:sdt>
            <w:sdtPr>
              <w:id w:val="-336689777"/>
              <w:placeholder>
                <w:docPart w:val="FE388924C7014A278C6170074730A7D1"/>
              </w:placeholder>
              <w:showingPlcHdr/>
            </w:sdtPr>
            <w:sdtEndPr/>
            <w:sdtContent>
              <w:p w14:paraId="4A7CAFE2" w14:textId="112B24DA" w:rsidR="007C0F3C" w:rsidRDefault="7E5B8C46" w:rsidP="1BD65F5D">
                <w:pPr>
                  <w:rPr>
                    <w:rFonts w:ascii="Segoe UI" w:eastAsia="Segoe UI" w:hAnsi="Segoe UI" w:cs="Segoe UI"/>
                    <w:color w:val="000000" w:themeColor="text1"/>
                    <w:sz w:val="18"/>
                    <w:szCs w:val="18"/>
                  </w:rPr>
                </w:pPr>
                <w:r w:rsidRPr="1BD65F5D">
                  <w:rPr>
                    <w:rFonts w:ascii="Times New Roman" w:eastAsia="Times New Roman" w:hAnsi="Times New Roman" w:cs="Times New Roman"/>
                    <w:b/>
                    <w:bCs/>
                    <w:color w:val="000000" w:themeColor="text1"/>
                    <w:sz w:val="24"/>
                    <w:szCs w:val="24"/>
                    <w:lang w:val="en-GB"/>
                  </w:rPr>
                  <w:t xml:space="preserve">  </w:t>
                </w:r>
                <w:r w:rsidRPr="1BD65F5D">
                  <w:rPr>
                    <w:rStyle w:val="contentcontrolboundarysink"/>
                    <w:rFonts w:ascii="Calibri" w:eastAsia="Calibri" w:hAnsi="Calibri" w:cs="Calibri"/>
                    <w:color w:val="000000" w:themeColor="text1"/>
                  </w:rPr>
                  <w:t xml:space="preserve"> Equations and inequalities - difference between &amp; opportunity to revisit other topics such as angles on a straight line/in shapes/parallel lines, probability, area &amp; perimeter etc. Factorising quadratics </w:t>
                </w:r>
              </w:p>
              <w:p w14:paraId="3A4F7CAC" w14:textId="5F1DF043" w:rsidR="007C0F3C" w:rsidRDefault="7E5B8C46" w:rsidP="1BD65F5D">
                <w:pPr>
                  <w:rPr>
                    <w:rFonts w:ascii="Segoe UI" w:eastAsia="Segoe UI" w:hAnsi="Segoe UI" w:cs="Segoe UI"/>
                    <w:color w:val="000000" w:themeColor="text1"/>
                    <w:sz w:val="18"/>
                    <w:szCs w:val="18"/>
                  </w:rPr>
                </w:pPr>
                <w:r w:rsidRPr="1BD65F5D">
                  <w:rPr>
                    <w:rFonts w:ascii="Calibri" w:eastAsia="Calibri" w:hAnsi="Calibri" w:cs="Calibri"/>
                    <w:color w:val="000000" w:themeColor="text1"/>
                  </w:rPr>
                  <w:t xml:space="preserve"> Bearings - Accurate drawing and use of scales , understanding of trigonometry and Pythagoras from as well as using mathematics to model real-life situations.</w:t>
                </w:r>
                <w:r w:rsidRPr="1BD65F5D">
                  <w:rPr>
                    <w:rStyle w:val="eop"/>
                    <w:rFonts w:ascii="Calibri" w:eastAsia="Calibri" w:hAnsi="Calibri" w:cs="Calibri"/>
                    <w:color w:val="000000" w:themeColor="text1"/>
                    <w:lang w:val="en-GB"/>
                  </w:rPr>
                  <w:t> </w:t>
                </w:r>
              </w:p>
              <w:p w14:paraId="1C3F77C5" w14:textId="440A875E" w:rsidR="007C0F3C" w:rsidRDefault="7E5B8C46" w:rsidP="1BD65F5D">
                <w:pPr>
                  <w:rPr>
                    <w:rFonts w:ascii="Segoe UI" w:eastAsia="Segoe UI" w:hAnsi="Segoe UI" w:cs="Segoe UI"/>
                    <w:color w:val="000000" w:themeColor="text1"/>
                    <w:sz w:val="18"/>
                    <w:szCs w:val="18"/>
                  </w:rPr>
                </w:pPr>
                <w:r w:rsidRPr="1BD65F5D">
                  <w:rPr>
                    <w:rFonts w:ascii="Calibri" w:eastAsia="Calibri" w:hAnsi="Calibri" w:cs="Calibri"/>
                    <w:color w:val="000000" w:themeColor="text1"/>
                  </w:rPr>
                  <w:t xml:space="preserve"> Vectors - discovering the meaning of − </w:t>
                </w:r>
                <w:r w:rsidRPr="1BD65F5D">
                  <w:rPr>
                    <w:rStyle w:val="normaltextrun"/>
                    <w:rFonts w:ascii="Cambria Math" w:eastAsia="Cambria Math" w:hAnsi="Cambria Math" w:cs="Cambria Math"/>
                    <w:color w:val="000000" w:themeColor="text1"/>
                  </w:rPr>
                  <w:t>𝒂</w:t>
                </w:r>
                <w:r w:rsidRPr="1BD65F5D">
                  <w:rPr>
                    <w:rStyle w:val="normaltextrun"/>
                    <w:rFonts w:ascii="Calibri" w:eastAsia="Calibri" w:hAnsi="Calibri" w:cs="Calibri"/>
                    <w:color w:val="000000" w:themeColor="text1"/>
                  </w:rPr>
                  <w:t xml:space="preserve"> compared to </w:t>
                </w:r>
                <w:r w:rsidRPr="1BD65F5D">
                  <w:rPr>
                    <w:rStyle w:val="normaltextrun"/>
                    <w:rFonts w:ascii="Cambria Math" w:eastAsia="Cambria Math" w:hAnsi="Cambria Math" w:cs="Cambria Math"/>
                    <w:color w:val="000000" w:themeColor="text1"/>
                  </w:rPr>
                  <w:t>𝒂</w:t>
                </w:r>
                <w:r w:rsidRPr="1BD65F5D">
                  <w:rPr>
                    <w:rStyle w:val="normaltextrun"/>
                    <w:rFonts w:ascii="Calibri" w:eastAsia="Calibri" w:hAnsi="Calibri" w:cs="Calibri"/>
                    <w:color w:val="000000" w:themeColor="text1"/>
                  </w:rPr>
                  <w:t xml:space="preserve">. This will connect to exploring ‘journeys’ within shapes linking the notation </w:t>
                </w:r>
                <w:r w:rsidRPr="1BD65F5D">
                  <w:rPr>
                    <w:rStyle w:val="normaltextrun"/>
                    <w:rFonts w:ascii="Cambria Math" w:eastAsia="Cambria Math" w:hAnsi="Cambria Math" w:cs="Cambria Math"/>
                    <w:color w:val="000000" w:themeColor="text1"/>
                  </w:rPr>
                  <w:t>𝐴𝐵</w:t>
                </w:r>
                <w:r w:rsidRPr="1BD65F5D">
                  <w:rPr>
                    <w:rStyle w:val="normaltextrun"/>
                    <w:rFonts w:ascii="Calibri" w:eastAsia="Calibri" w:hAnsi="Calibri" w:cs="Calibri"/>
                    <w:color w:val="000000" w:themeColor="text1"/>
                  </w:rPr>
                  <w:t xml:space="preserve"> with </w:t>
                </w:r>
                <w:r w:rsidRPr="1BD65F5D">
                  <w:rPr>
                    <w:rStyle w:val="normaltextrun"/>
                    <w:rFonts w:ascii="Cambria Math" w:eastAsia="Cambria Math" w:hAnsi="Cambria Math" w:cs="Cambria Math"/>
                    <w:color w:val="000000" w:themeColor="text1"/>
                  </w:rPr>
                  <w:t>𝒃</w:t>
                </w:r>
                <w:r w:rsidRPr="1BD65F5D">
                  <w:rPr>
                    <w:rStyle w:val="normaltextrun"/>
                    <w:rFonts w:ascii="Calibri" w:eastAsia="Calibri" w:hAnsi="Calibri" w:cs="Calibri"/>
                    <w:color w:val="000000" w:themeColor="text1"/>
                  </w:rPr>
                  <w:t xml:space="preserve"> − </w:t>
                </w:r>
                <w:r w:rsidRPr="1BD65F5D">
                  <w:rPr>
                    <w:rStyle w:val="normaltextrun"/>
                    <w:rFonts w:ascii="Cambria Math" w:eastAsia="Cambria Math" w:hAnsi="Cambria Math" w:cs="Cambria Math"/>
                    <w:color w:val="000000" w:themeColor="text1"/>
                  </w:rPr>
                  <w:t>𝒂</w:t>
                </w:r>
                <w:r w:rsidRPr="1BD65F5D">
                  <w:rPr>
                    <w:rStyle w:val="normaltextrun"/>
                    <w:rFonts w:ascii="Calibri" w:eastAsia="Calibri" w:hAnsi="Calibri" w:cs="Calibri"/>
                    <w:color w:val="000000" w:themeColor="text1"/>
                  </w:rPr>
                  <w:t xml:space="preserve"> etc. </w:t>
                </w:r>
              </w:p>
              <w:p w14:paraId="02C3CB02" w14:textId="112EB464" w:rsidR="007C0F3C" w:rsidRDefault="7E5B8C46" w:rsidP="1BD65F5D">
                <w:r w:rsidRPr="1BD65F5D">
                  <w:rPr>
                    <w:rFonts w:ascii="Calibri" w:eastAsia="Calibri" w:hAnsi="Calibri" w:cs="Calibri"/>
                    <w:color w:val="000000" w:themeColor="text1"/>
                  </w:rPr>
                  <w:t xml:space="preserve">  Circles - The formulae for arc length and sector area, formulae for surface area and volume of spheres and cones.</w:t>
                </w:r>
              </w:p>
            </w:sdtContent>
          </w:sdt>
        </w:tc>
        <w:tc>
          <w:tcPr>
            <w:tcW w:w="3458" w:type="dxa"/>
          </w:tcPr>
          <w:p w14:paraId="73D9E3C4" w14:textId="77777777" w:rsidR="0023260A" w:rsidRDefault="0023260A" w:rsidP="0023260A">
            <w:r>
              <w:t>Unit Name:</w:t>
            </w:r>
          </w:p>
          <w:sdt>
            <w:sdtPr>
              <w:alias w:val="Unit Name"/>
              <w:tag w:val="Unit Name"/>
              <w:id w:val="671676585"/>
              <w:placeholder>
                <w:docPart w:val="A235012BFD1846CAB617CEC219CB10D8"/>
              </w:placeholder>
              <w:showingPlcHdr/>
            </w:sdtPr>
            <w:sdtEndPr/>
            <w:sdtContent>
              <w:p w14:paraId="0903C89F" w14:textId="06268979" w:rsidR="0023260A" w:rsidRDefault="0023260A" w:rsidP="0023260A">
                <w:r>
                  <w:t>C</w:t>
                </w:r>
                <w:r w:rsidR="621A0F6D">
                  <w:t>ollecting, representing data</w:t>
                </w:r>
              </w:p>
              <w:p w14:paraId="4D690946" w14:textId="6FBDBBF0" w:rsidR="621A0F6D" w:rsidRDefault="621A0F6D" w:rsidP="7E710AF3">
                <w:r>
                  <w:t>Types of num and sequences</w:t>
                </w:r>
              </w:p>
              <w:p w14:paraId="64138BDF" w14:textId="72C570AE" w:rsidR="7E710AF3" w:rsidRDefault="009C6822" w:rsidP="7E710AF3"/>
            </w:sdtContent>
          </w:sdt>
          <w:p w14:paraId="71343D52" w14:textId="77777777" w:rsidR="0023260A" w:rsidRDefault="0023260A" w:rsidP="0023260A">
            <w:r>
              <w:t>Unit Description:</w:t>
            </w:r>
          </w:p>
          <w:sdt>
            <w:sdtPr>
              <w:id w:val="-400760051"/>
              <w:placeholder>
                <w:docPart w:val="A235012BFD1846CAB617CEC219CB10D8"/>
              </w:placeholder>
              <w:showingPlcHdr/>
            </w:sdtPr>
            <w:sdtEndPr/>
            <w:sdtContent>
              <w:p w14:paraId="45B43FCC" w14:textId="55DFE7EB" w:rsidR="007C0F3C" w:rsidRDefault="35089669" w:rsidP="1BD65F5D">
                <w:pPr>
                  <w:rPr>
                    <w:rFonts w:ascii="Segoe UI" w:eastAsia="Segoe UI" w:hAnsi="Segoe UI" w:cs="Segoe UI"/>
                    <w:color w:val="000000" w:themeColor="text1"/>
                    <w:sz w:val="18"/>
                    <w:szCs w:val="18"/>
                  </w:rPr>
                </w:pPr>
                <w:r w:rsidRPr="1BD65F5D">
                  <w:rPr>
                    <w:rStyle w:val="normaltextrun"/>
                    <w:rFonts w:ascii="Calibri" w:eastAsia="Calibri" w:hAnsi="Calibri" w:cs="Calibri"/>
                    <w:color w:val="000000" w:themeColor="text1"/>
                  </w:rPr>
                  <w:t>ollecting and interpreting data, describe data. evaluating and criticising statistical methods and diagrams, continuous data including histograms, cumulative frequency diagrams, box plots and associated measures such as quartiles and the interquartile range. Again, the emphasis with these topics should be on interpretation (particularly in making comparisons) and not just construction.</w:t>
                </w:r>
                <w:r w:rsidRPr="1BD65F5D">
                  <w:rPr>
                    <w:rStyle w:val="eop"/>
                    <w:rFonts w:ascii="Calibri" w:eastAsia="Calibri" w:hAnsi="Calibri" w:cs="Calibri"/>
                    <w:color w:val="000000" w:themeColor="text1"/>
                    <w:lang w:val="en-GB"/>
                  </w:rPr>
                  <w:t> </w:t>
                </w:r>
              </w:p>
              <w:p w14:paraId="660049F5" w14:textId="08F29B60" w:rsidR="007C0F3C" w:rsidRDefault="35089669" w:rsidP="1BD65F5D">
                <w:pPr>
                  <w:rPr>
                    <w:rFonts w:ascii="Calibri" w:eastAsia="Calibri" w:hAnsi="Calibri" w:cs="Calibri"/>
                    <w:color w:val="000000" w:themeColor="text1"/>
                  </w:rPr>
                </w:pPr>
                <w:r w:rsidRPr="1BD65F5D">
                  <w:rPr>
                    <w:rFonts w:ascii="Calibri" w:eastAsia="Calibri" w:hAnsi="Calibri" w:cs="Calibri"/>
                    <w:color w:val="000000" w:themeColor="text1"/>
                  </w:rPr>
                  <w:t xml:space="preserve"> Types of numbers, prime factorisation and associated number content such as HCF and LCM. </w:t>
                </w:r>
              </w:p>
              <w:p w14:paraId="2C4FB131" w14:textId="79C711E4" w:rsidR="007C0F3C" w:rsidRDefault="35089669" w:rsidP="1BD65F5D">
                <w:r w:rsidRPr="1BD65F5D">
                  <w:rPr>
                    <w:rFonts w:ascii="Calibri" w:eastAsia="Calibri" w:hAnsi="Calibri" w:cs="Calibri"/>
                    <w:color w:val="000000" w:themeColor="text1"/>
                  </w:rPr>
                  <w:t xml:space="preserve"> Sequences include surds and finding the formula for a quadratic sequence.</w:t>
                </w:r>
              </w:p>
            </w:sdtContent>
          </w:sdt>
        </w:tc>
        <w:tc>
          <w:tcPr>
            <w:tcW w:w="3458" w:type="dxa"/>
          </w:tcPr>
          <w:p w14:paraId="31C89490" w14:textId="77777777" w:rsidR="0023260A" w:rsidRDefault="0023260A" w:rsidP="0023260A">
            <w:r>
              <w:t>Unit Name:</w:t>
            </w:r>
          </w:p>
          <w:sdt>
            <w:sdtPr>
              <w:alias w:val="Unit Name"/>
              <w:tag w:val="Unit Name"/>
              <w:id w:val="-1334365334"/>
              <w:placeholder>
                <w:docPart w:val="D268E17E4BB9447FA671C98991A2FAE5"/>
              </w:placeholder>
              <w:showingPlcHdr/>
            </w:sdtPr>
            <w:sdtEndPr/>
            <w:sdtContent>
              <w:p w14:paraId="76F82F14" w14:textId="7F8B8A3B" w:rsidR="0023260A" w:rsidRDefault="0023260A" w:rsidP="0023260A">
                <w:r>
                  <w:t>C</w:t>
                </w:r>
                <w:r w:rsidR="0B4AAD66">
                  <w:t>ongruence, similarity and enlargement</w:t>
                </w:r>
              </w:p>
              <w:p w14:paraId="0B1AC4CE" w14:textId="7CE22DC5" w:rsidR="0B4AAD66" w:rsidRDefault="0B4AAD66" w:rsidP="7E710AF3">
                <w:r>
                  <w:t>Indices and roots</w:t>
                </w:r>
              </w:p>
            </w:sdtContent>
          </w:sdt>
          <w:p w14:paraId="2A32F925" w14:textId="77777777" w:rsidR="0023260A" w:rsidRDefault="0023260A" w:rsidP="0023260A">
            <w:r>
              <w:t>Unit Description:</w:t>
            </w:r>
          </w:p>
          <w:sdt>
            <w:sdtPr>
              <w:id w:val="-1018920656"/>
              <w:placeholder>
                <w:docPart w:val="D268E17E4BB9447FA671C98991A2FAE5"/>
              </w:placeholder>
              <w:showingPlcHdr/>
            </w:sdtPr>
            <w:sdtEndPr/>
            <w:sdtContent>
              <w:p w14:paraId="00E0E89F" w14:textId="1AEC0535" w:rsidR="007C0F3C" w:rsidRDefault="008D39AB" w:rsidP="1BD65F5D">
                <w:pPr>
                  <w:rPr>
                    <w:rFonts w:ascii="Segoe UI" w:eastAsia="Segoe UI" w:hAnsi="Segoe UI" w:cs="Segoe UI"/>
                    <w:color w:val="000000" w:themeColor="text1"/>
                    <w:sz w:val="18"/>
                    <w:szCs w:val="18"/>
                  </w:rPr>
                </w:pPr>
                <w:r w:rsidRPr="1BD65F5D">
                  <w:rPr>
                    <w:rFonts w:ascii="Calibri" w:eastAsia="Calibri" w:hAnsi="Calibri" w:cs="Calibri"/>
                    <w:b/>
                    <w:bCs/>
                    <w:color w:val="000000" w:themeColor="text1"/>
                  </w:rPr>
                  <w:t xml:space="preserve">  </w:t>
                </w:r>
                <w:r w:rsidRPr="1BD65F5D">
                  <w:rPr>
                    <w:rStyle w:val="normaltextrun"/>
                    <w:rFonts w:ascii="Calibri" w:eastAsia="Calibri" w:hAnsi="Calibri" w:cs="Calibri"/>
                    <w:color w:val="000000" w:themeColor="text1"/>
                  </w:rPr>
                  <w:t xml:space="preserve">enlargement and similarity. Parallel line angle rules, congruency and to extend enlargement to explore negative scale </w:t>
                </w:r>
              </w:p>
              <w:p w14:paraId="36599397" w14:textId="4C84B470" w:rsidR="007C0F3C" w:rsidRDefault="008D39AB" w:rsidP="1BD65F5D">
                <w:pPr>
                  <w:rPr>
                    <w:rFonts w:ascii="Segoe UI" w:eastAsia="Segoe UI" w:hAnsi="Segoe UI" w:cs="Segoe UI"/>
                    <w:color w:val="000000" w:themeColor="text1"/>
                    <w:sz w:val="18"/>
                    <w:szCs w:val="18"/>
                  </w:rPr>
                </w:pPr>
                <w:r w:rsidRPr="1BD65F5D">
                  <w:rPr>
                    <w:rFonts w:ascii="Calibri" w:eastAsia="Calibri" w:hAnsi="Calibri" w:cs="Calibri"/>
                    <w:color w:val="000000" w:themeColor="text1"/>
                  </w:rPr>
                  <w:t xml:space="preserve"> Understanding powers in particular standard form. Negative and fractional indices, general non-calculator and problem-solving practice. </w:t>
                </w:r>
              </w:p>
              <w:p w14:paraId="6A10A89A" w14:textId="320B3AB5" w:rsidR="007C0F3C" w:rsidRDefault="008D39AB" w:rsidP="1BD65F5D">
                <w:pPr>
                  <w:rPr>
                    <w:rFonts w:ascii="Segoe UI" w:eastAsia="Segoe UI" w:hAnsi="Segoe UI" w:cs="Segoe UI"/>
                    <w:color w:val="000000" w:themeColor="text1"/>
                    <w:sz w:val="18"/>
                    <w:szCs w:val="18"/>
                  </w:rPr>
                </w:pPr>
                <w:r w:rsidRPr="1BD65F5D">
                  <w:rPr>
                    <w:rFonts w:ascii="Calibri" w:eastAsia="Calibri" w:hAnsi="Calibri" w:cs="Calibri"/>
                    <w:color w:val="000000" w:themeColor="text1"/>
                    <w:lang w:val="en-GB"/>
                  </w:rPr>
                  <w:t xml:space="preserve">  </w:t>
                </w:r>
              </w:p>
              <w:p w14:paraId="084D77C1" w14:textId="67F75E77" w:rsidR="007C0F3C" w:rsidRDefault="008D39AB" w:rsidP="1BD65F5D">
                <w:r w:rsidRPr="1BD65F5D">
                  <w:rPr>
                    <w:rFonts w:ascii="Calibri" w:eastAsia="Calibri" w:hAnsi="Calibri" w:cs="Calibri"/>
                    <w:color w:val="000000" w:themeColor="text1"/>
                  </w:rPr>
                  <w:t xml:space="preserve"> Assessment weeks</w:t>
                </w:r>
              </w:p>
            </w:sdtContent>
          </w:sdt>
        </w:tc>
        <w:tc>
          <w:tcPr>
            <w:tcW w:w="3458" w:type="dxa"/>
          </w:tcPr>
          <w:p w14:paraId="055CA406" w14:textId="77777777" w:rsidR="0023260A" w:rsidRDefault="0023260A" w:rsidP="0023260A">
            <w:r>
              <w:t>Unit Name:</w:t>
            </w:r>
          </w:p>
          <w:sdt>
            <w:sdtPr>
              <w:alias w:val="Unit Name"/>
              <w:tag w:val="Unit Name"/>
              <w:id w:val="-1964955354"/>
              <w:placeholder>
                <w:docPart w:val="FA21537662EF49BE9D84ED75A036551A"/>
              </w:placeholder>
              <w:showingPlcHdr/>
            </w:sdtPr>
            <w:sdtEndPr/>
            <w:sdtContent>
              <w:p w14:paraId="4E0D3ED0" w14:textId="2F7DE392" w:rsidR="0023260A" w:rsidRDefault="2C14F479" w:rsidP="0023260A">
                <w:r>
                  <w:t>Non –calculator projects</w:t>
                </w:r>
              </w:p>
              <w:p w14:paraId="7964B37B" w14:textId="23543E00" w:rsidR="2C14F479" w:rsidRDefault="2C14F479" w:rsidP="7E710AF3">
                <w:r>
                  <w:t>Maths – real life, money skills, VAT, banks, Interest rates credit cards, mortgages rent  etc</w:t>
                </w:r>
              </w:p>
            </w:sdtContent>
          </w:sdt>
          <w:p w14:paraId="6D2F9A16" w14:textId="77777777" w:rsidR="0023260A" w:rsidRDefault="0023260A" w:rsidP="0023260A">
            <w:r>
              <w:t>Unit Description:</w:t>
            </w:r>
          </w:p>
          <w:sdt>
            <w:sdtPr>
              <w:id w:val="-148286616"/>
              <w:placeholder>
                <w:docPart w:val="FA21537662EF49BE9D84ED75A036551A"/>
              </w:placeholder>
              <w:showingPlcHdr/>
            </w:sdtPr>
            <w:sdtEndPr/>
            <w:sdtContent>
              <w:p w14:paraId="484CF1DD" w14:textId="2A3D9F27" w:rsidR="007C0F3C" w:rsidRDefault="37F35EBF" w:rsidP="1BD65F5D">
                <w:pPr>
                  <w:rPr>
                    <w:rFonts w:ascii="Segoe UI" w:eastAsia="Segoe UI" w:hAnsi="Segoe UI" w:cs="Segoe UI"/>
                    <w:color w:val="000000" w:themeColor="text1"/>
                    <w:sz w:val="18"/>
                    <w:szCs w:val="18"/>
                  </w:rPr>
                </w:pPr>
                <w:r w:rsidRPr="1BD65F5D">
                  <w:rPr>
                    <w:rFonts w:ascii="Times New Roman" w:eastAsia="Times New Roman" w:hAnsi="Times New Roman" w:cs="Times New Roman"/>
                    <w:b/>
                    <w:bCs/>
                    <w:color w:val="000000" w:themeColor="text1"/>
                    <w:sz w:val="24"/>
                    <w:szCs w:val="24"/>
                    <w:lang w:val="en-GB"/>
                  </w:rPr>
                  <w:t xml:space="preserve">  </w:t>
                </w:r>
                <w:r w:rsidRPr="1BD65F5D">
                  <w:rPr>
                    <w:rStyle w:val="contentcontrolboundarysink"/>
                    <w:rFonts w:ascii="Calibri" w:eastAsia="Calibri" w:hAnsi="Calibri" w:cs="Calibri"/>
                    <w:color w:val="000000" w:themeColor="text1"/>
                  </w:rPr>
                  <w:t xml:space="preserve"> Non calculator collection, representation and use of summary statistics to describe data. extending and deepening, particularly in terms of interpretation of results and evaluating and criticising statistical methods and diagrams, content relating to continuous data including histograms, cumulative frequency diagrams, box plots and associated measures such as quartiles and the interquartile range. </w:t>
                </w:r>
                <w:r w:rsidRPr="1BD65F5D">
                  <w:rPr>
                    <w:rStyle w:val="eop"/>
                    <w:rFonts w:ascii="Calibri" w:eastAsia="Calibri" w:hAnsi="Calibri" w:cs="Calibri"/>
                    <w:color w:val="000000" w:themeColor="text1"/>
                    <w:lang w:val="en-GB"/>
                  </w:rPr>
                  <w:t> </w:t>
                </w:r>
              </w:p>
              <w:p w14:paraId="1EF7CE27" w14:textId="06AF02F1" w:rsidR="007C0F3C" w:rsidRDefault="37F35EBF" w:rsidP="1BD65F5D">
                <w:r w:rsidRPr="1BD65F5D">
                  <w:rPr>
                    <w:rFonts w:ascii="Calibri" w:eastAsia="Calibri" w:hAnsi="Calibri" w:cs="Calibri"/>
                    <w:color w:val="000000" w:themeColor="text1"/>
                  </w:rPr>
                  <w:t xml:space="preserve">  Trigonometry is introduced as a special case of similarity within right-angled triangles. Emphasis is placed throughout the steps on linking the trig functions to ratios, rather than just functions.</w:t>
                </w:r>
              </w:p>
            </w:sdtContent>
          </w:sdt>
        </w:tc>
        <w:tc>
          <w:tcPr>
            <w:tcW w:w="3458" w:type="dxa"/>
          </w:tcPr>
          <w:p w14:paraId="638941F1" w14:textId="77777777" w:rsidR="0023260A" w:rsidRDefault="0023260A" w:rsidP="0023260A">
            <w:r>
              <w:t>Unit Name:</w:t>
            </w:r>
          </w:p>
          <w:sdt>
            <w:sdtPr>
              <w:alias w:val="Unit Name"/>
              <w:tag w:val="Unit Name"/>
              <w:id w:val="-1915996443"/>
              <w:placeholder>
                <w:docPart w:val="433849FA597A447EA9F064DFA172C712"/>
              </w:placeholder>
              <w:showingPlcHdr/>
            </w:sdtPr>
            <w:sdtEndPr/>
            <w:sdtContent>
              <w:p w14:paraId="23B3AF5E" w14:textId="7D57A52B" w:rsidR="0023260A" w:rsidRDefault="5EEDE0C8" w:rsidP="0023260A">
                <w:r>
                  <w:t>Maths life skills</w:t>
                </w:r>
              </w:p>
              <w:p w14:paraId="6B696DC4" w14:textId="1C8968EC" w:rsidR="5EEDE0C8" w:rsidRDefault="5EEDE0C8" w:rsidP="7E710AF3">
                <w:r>
                  <w:t>Circles</w:t>
                </w:r>
              </w:p>
              <w:p w14:paraId="794F4287" w14:textId="360DD770" w:rsidR="5EEDE0C8" w:rsidRDefault="5EEDE0C8" w:rsidP="7E710AF3">
                <w:r>
                  <w:t>Year 10 exam mock preparation</w:t>
                </w:r>
              </w:p>
            </w:sdtContent>
          </w:sdt>
          <w:p w14:paraId="3F5B6371" w14:textId="77777777" w:rsidR="0023260A" w:rsidRDefault="0023260A" w:rsidP="0023260A">
            <w:r>
              <w:t>Unit Description:</w:t>
            </w:r>
          </w:p>
          <w:sdt>
            <w:sdtPr>
              <w:id w:val="1206056168"/>
              <w:placeholder>
                <w:docPart w:val="433849FA597A447EA9F064DFA172C712"/>
              </w:placeholder>
              <w:showingPlcHdr/>
            </w:sdtPr>
            <w:sdtEndPr/>
            <w:sdtContent>
              <w:p w14:paraId="70C58CE1" w14:textId="2F3527F1" w:rsidR="007C0F3C" w:rsidRDefault="04F92A55" w:rsidP="1BD65F5D">
                <w:pPr>
                  <w:rPr>
                    <w:rFonts w:ascii="Segoe UI" w:eastAsia="Segoe UI" w:hAnsi="Segoe UI" w:cs="Segoe UI"/>
                    <w:color w:val="000000" w:themeColor="text1"/>
                    <w:sz w:val="18"/>
                    <w:szCs w:val="18"/>
                  </w:rPr>
                </w:pPr>
                <w:r w:rsidRPr="1BD65F5D">
                  <w:rPr>
                    <w:rFonts w:ascii="Calibri" w:eastAsia="Calibri" w:hAnsi="Calibri" w:cs="Calibri"/>
                    <w:b/>
                    <w:bCs/>
                    <w:color w:val="000000" w:themeColor="text1"/>
                  </w:rPr>
                  <w:t xml:space="preserve">  </w:t>
                </w:r>
                <w:r w:rsidRPr="1BD65F5D">
                  <w:rPr>
                    <w:rStyle w:val="contentcontrolboundarysink"/>
                    <w:rFonts w:ascii="Calibri" w:eastAsia="Calibri" w:hAnsi="Calibri" w:cs="Calibri"/>
                    <w:color w:val="000000" w:themeColor="text1"/>
                  </w:rPr>
                  <w:t xml:space="preserve"> Barclays life skills using real life examples for banking, interest rates, mortgages, rent etc</w:t>
                </w:r>
                <w:r w:rsidRPr="1BD65F5D">
                  <w:rPr>
                    <w:rStyle w:val="eop"/>
                    <w:rFonts w:ascii="Calibri" w:eastAsia="Calibri" w:hAnsi="Calibri" w:cs="Calibri"/>
                    <w:color w:val="000000" w:themeColor="text1"/>
                    <w:lang w:val="en-GB"/>
                  </w:rPr>
                  <w:t> </w:t>
                </w:r>
              </w:p>
              <w:p w14:paraId="34250365" w14:textId="5ACCFDBF" w:rsidR="007C0F3C" w:rsidRDefault="04F92A55" w:rsidP="1BD65F5D">
                <w:pPr>
                  <w:rPr>
                    <w:rFonts w:ascii="Segoe UI" w:eastAsia="Segoe UI" w:hAnsi="Segoe UI" w:cs="Segoe UI"/>
                    <w:color w:val="000000" w:themeColor="text1"/>
                    <w:sz w:val="18"/>
                    <w:szCs w:val="18"/>
                  </w:rPr>
                </w:pPr>
                <w:r w:rsidRPr="1BD65F5D">
                  <w:rPr>
                    <w:rFonts w:ascii="Calibri" w:eastAsia="Calibri" w:hAnsi="Calibri" w:cs="Calibri"/>
                    <w:color w:val="000000" w:themeColor="text1"/>
                  </w:rPr>
                  <w:t xml:space="preserve">  Reading timetables, shopping lists and budgets.</w:t>
                </w:r>
              </w:p>
              <w:p w14:paraId="23AC79FF" w14:textId="061163B0" w:rsidR="007C0F3C" w:rsidRDefault="009C6822" w:rsidP="1BD65F5D"/>
            </w:sdtContent>
          </w:sdt>
        </w:tc>
      </w:tr>
    </w:tbl>
    <w:p w14:paraId="2C078E63" w14:textId="77777777" w:rsidR="000E46AB" w:rsidRDefault="000E46AB"/>
    <w:sectPr w:rsidR="000E46AB" w:rsidSect="007041B4">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00FD" w14:textId="77777777" w:rsidR="00FC2D92" w:rsidRDefault="00FC2D92" w:rsidP="007041B4">
      <w:pPr>
        <w:spacing w:after="0" w:line="240" w:lineRule="auto"/>
      </w:pPr>
      <w:r>
        <w:separator/>
      </w:r>
    </w:p>
  </w:endnote>
  <w:endnote w:type="continuationSeparator" w:id="0">
    <w:p w14:paraId="5ABA22DB" w14:textId="77777777" w:rsidR="00FC2D92" w:rsidRDefault="00FC2D92" w:rsidP="007041B4">
      <w:pPr>
        <w:spacing w:after="0" w:line="240" w:lineRule="auto"/>
      </w:pPr>
      <w:r>
        <w:continuationSeparator/>
      </w:r>
    </w:p>
  </w:endnote>
  <w:endnote w:type="continuationNotice" w:id="1">
    <w:p w14:paraId="0443D996" w14:textId="77777777" w:rsidR="00E869D3" w:rsidRDefault="00E869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5AEF" w14:textId="77777777" w:rsidR="008C7490" w:rsidRDefault="008C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4152" w14:textId="77777777" w:rsidR="008C7490" w:rsidRDefault="008C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4D78" w14:textId="77777777" w:rsidR="008C7490" w:rsidRDefault="008C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44CF" w14:textId="77777777" w:rsidR="00FC2D92" w:rsidRDefault="00FC2D92" w:rsidP="007041B4">
      <w:pPr>
        <w:spacing w:after="0" w:line="240" w:lineRule="auto"/>
      </w:pPr>
      <w:r>
        <w:separator/>
      </w:r>
    </w:p>
  </w:footnote>
  <w:footnote w:type="continuationSeparator" w:id="0">
    <w:p w14:paraId="6207FFDC" w14:textId="77777777" w:rsidR="00FC2D92" w:rsidRDefault="00FC2D92" w:rsidP="007041B4">
      <w:pPr>
        <w:spacing w:after="0" w:line="240" w:lineRule="auto"/>
      </w:pPr>
      <w:r>
        <w:continuationSeparator/>
      </w:r>
    </w:p>
  </w:footnote>
  <w:footnote w:type="continuationNotice" w:id="1">
    <w:p w14:paraId="486CB75A" w14:textId="77777777" w:rsidR="00E869D3" w:rsidRDefault="00E869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B8A8" w14:textId="77777777" w:rsidR="008C7490" w:rsidRDefault="008C7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B2E1ECBA1CE49E3908673F28EFEBAB6"/>
      </w:placeholder>
      <w:temporary/>
      <w:showingPlcHdr/>
      <w15:appearance w15:val="hidden"/>
    </w:sdtPr>
    <w:sdtEndPr/>
    <w:sdtContent>
      <w:p w14:paraId="7013CFA7" w14:textId="77777777" w:rsidR="007041B4" w:rsidRDefault="007041B4">
        <w:pPr>
          <w:pStyle w:val="Header"/>
        </w:pPr>
        <w:r>
          <w:t>[Type here]</w:t>
        </w:r>
      </w:p>
    </w:sdtContent>
  </w:sdt>
  <w:p w14:paraId="1AF447FE" w14:textId="77777777" w:rsidR="007041B4" w:rsidRDefault="0070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786B" w14:textId="31C88EDB" w:rsidR="007041B4" w:rsidRDefault="008C7490" w:rsidP="007041B4">
    <w:pPr>
      <w:pStyle w:val="Header"/>
      <w:jc w:val="center"/>
    </w:pPr>
    <w:r>
      <w:rPr>
        <w:rFonts w:ascii="Calibri" w:hAnsi="Calibri" w:cs="Calibri"/>
        <w:b/>
        <w:bCs/>
        <w:noProof/>
        <w:color w:val="003366"/>
        <w:shd w:val="clear" w:color="auto" w:fill="FFFFFF"/>
      </w:rPr>
      <w:drawing>
        <wp:inline distT="0" distB="0" distL="0" distR="0" wp14:anchorId="761D260C" wp14:editId="3E0261B9">
          <wp:extent cx="1364674" cy="1368000"/>
          <wp:effectExtent l="0" t="0" r="6985"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674" cy="1368000"/>
                  </a:xfrm>
                  <a:prstGeom prst="rect">
                    <a:avLst/>
                  </a:prstGeom>
                </pic:spPr>
              </pic:pic>
            </a:graphicData>
          </a:graphic>
        </wp:inline>
      </w:drawing>
    </w:r>
    <w:r w:rsidR="007041B4">
      <w:rPr>
        <w:rFonts w:ascii="Calibri" w:hAnsi="Calibri" w:cs="Calibri"/>
        <w:b/>
        <w:bCs/>
        <w:color w:val="003366"/>
        <w:shd w:val="clear" w:color="auto" w:fill="FFFFFF"/>
      </w:rPr>
      <w:br/>
    </w:r>
    <w:r w:rsidR="003319B4" w:rsidRPr="003319B4">
      <w:rPr>
        <w:rStyle w:val="TitleChar"/>
        <w:sz w:val="40"/>
        <w:szCs w:val="40"/>
      </w:rPr>
      <w:t xml:space="preserve">Key Stage </w:t>
    </w:r>
    <w:r w:rsidR="004D6E33">
      <w:rPr>
        <w:rStyle w:val="TitleChar"/>
        <w:sz w:val="40"/>
        <w:szCs w:val="40"/>
      </w:rPr>
      <w:t>4</w:t>
    </w:r>
    <w:r w:rsidR="003319B4" w:rsidRPr="003319B4">
      <w:rPr>
        <w:rStyle w:val="TitleChar"/>
        <w:sz w:val="40"/>
        <w:szCs w:val="40"/>
      </w:rPr>
      <w:t xml:space="preserve"> Curriculum Map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E46AB"/>
    <w:rsid w:val="00176C3D"/>
    <w:rsid w:val="001D58AD"/>
    <w:rsid w:val="001E41EE"/>
    <w:rsid w:val="0023260A"/>
    <w:rsid w:val="003319B4"/>
    <w:rsid w:val="004C66DF"/>
    <w:rsid w:val="004D6E33"/>
    <w:rsid w:val="005300F2"/>
    <w:rsid w:val="005522F6"/>
    <w:rsid w:val="0065526B"/>
    <w:rsid w:val="007041B4"/>
    <w:rsid w:val="007C0F3C"/>
    <w:rsid w:val="00851836"/>
    <w:rsid w:val="00866541"/>
    <w:rsid w:val="00892C88"/>
    <w:rsid w:val="008C7490"/>
    <w:rsid w:val="008D39AB"/>
    <w:rsid w:val="00985386"/>
    <w:rsid w:val="009C6822"/>
    <w:rsid w:val="00AD3A5B"/>
    <w:rsid w:val="00AE344B"/>
    <w:rsid w:val="00B50B41"/>
    <w:rsid w:val="00CE516B"/>
    <w:rsid w:val="00D8169E"/>
    <w:rsid w:val="00E869D3"/>
    <w:rsid w:val="00EE089E"/>
    <w:rsid w:val="00F54B67"/>
    <w:rsid w:val="00FC2D92"/>
    <w:rsid w:val="034BCEF7"/>
    <w:rsid w:val="04F92A55"/>
    <w:rsid w:val="06A544B0"/>
    <w:rsid w:val="0B4AAD66"/>
    <w:rsid w:val="1BD65F5D"/>
    <w:rsid w:val="1E85C0C6"/>
    <w:rsid w:val="1F1F0884"/>
    <w:rsid w:val="21C3B873"/>
    <w:rsid w:val="24BF98A8"/>
    <w:rsid w:val="2C14F479"/>
    <w:rsid w:val="2DFA2E0D"/>
    <w:rsid w:val="35089669"/>
    <w:rsid w:val="37F35EBF"/>
    <w:rsid w:val="4646035E"/>
    <w:rsid w:val="4A2D9F14"/>
    <w:rsid w:val="56F2F9BF"/>
    <w:rsid w:val="5EEDE0C8"/>
    <w:rsid w:val="621A0F6D"/>
    <w:rsid w:val="62756D95"/>
    <w:rsid w:val="7E5B8C46"/>
    <w:rsid w:val="7E710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44B0"/>
  <w15:chartTrackingRefBased/>
  <w15:docId w15:val="{FC6236B9-F84B-4C31-A10B-900403DA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9B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6DF"/>
    <w:rPr>
      <w:color w:val="808080"/>
    </w:rPr>
  </w:style>
  <w:style w:type="character" w:customStyle="1" w:styleId="contentcontrolboundarysink">
    <w:name w:val="contentcontrolboundarysink"/>
    <w:basedOn w:val="DefaultParagraphFont"/>
    <w:uiPriority w:val="1"/>
    <w:rsid w:val="1BD65F5D"/>
  </w:style>
  <w:style w:type="character" w:customStyle="1" w:styleId="normaltextrun">
    <w:name w:val="normaltextrun"/>
    <w:basedOn w:val="DefaultParagraphFont"/>
    <w:uiPriority w:val="1"/>
    <w:rsid w:val="1BD65F5D"/>
  </w:style>
  <w:style w:type="character" w:customStyle="1" w:styleId="eop">
    <w:name w:val="eop"/>
    <w:basedOn w:val="DefaultParagraphFont"/>
    <w:uiPriority w:val="1"/>
    <w:rsid w:val="1BD6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684721" w:rsidRDefault="001D58AD" w:rsidP="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684721"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684721"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684721" w:rsidRDefault="001D58AD" w:rsidP="001D58AD">
          <w:pPr>
            <w:pStyle w:val="FE388924C7014A278C6170074730A7D1"/>
          </w:pPr>
          <w:r w:rsidRPr="00537E1A">
            <w:rPr>
              <w:rStyle w:val="PlaceholderText"/>
            </w:rPr>
            <w:t>Click or tap here to enter text.</w:t>
          </w:r>
        </w:p>
      </w:docPartBody>
    </w:docPart>
    <w:docPart>
      <w:docPartPr>
        <w:name w:val="A235012BFD1846CAB617CEC219CB10D8"/>
        <w:category>
          <w:name w:val="General"/>
          <w:gallery w:val="placeholder"/>
        </w:category>
        <w:types>
          <w:type w:val="bbPlcHdr"/>
        </w:types>
        <w:behaviors>
          <w:behavior w:val="content"/>
        </w:behaviors>
        <w:guid w:val="{28AE43DD-8AC7-449A-9FF0-2FC2E0595D02}"/>
      </w:docPartPr>
      <w:docPartBody>
        <w:p w:rsidR="00684721" w:rsidRDefault="001D58AD" w:rsidP="001D58AD">
          <w:pPr>
            <w:pStyle w:val="A235012BFD1846CAB617CEC219CB10D8"/>
          </w:pPr>
          <w:r w:rsidRPr="00537E1A">
            <w:rPr>
              <w:rStyle w:val="PlaceholderText"/>
            </w:rPr>
            <w:t>Click or tap here to enter text.</w:t>
          </w:r>
        </w:p>
      </w:docPartBody>
    </w:docPart>
    <w:docPart>
      <w:docPartPr>
        <w:name w:val="D268E17E4BB9447FA671C98991A2FAE5"/>
        <w:category>
          <w:name w:val="General"/>
          <w:gallery w:val="placeholder"/>
        </w:category>
        <w:types>
          <w:type w:val="bbPlcHdr"/>
        </w:types>
        <w:behaviors>
          <w:behavior w:val="content"/>
        </w:behaviors>
        <w:guid w:val="{83F58072-78FF-41FC-835B-0808D3901CC1}"/>
      </w:docPartPr>
      <w:docPartBody>
        <w:p w:rsidR="00684721" w:rsidRDefault="001D58AD" w:rsidP="001D58AD">
          <w:pPr>
            <w:pStyle w:val="D268E17E4BB9447FA671C98991A2FAE5"/>
          </w:pPr>
          <w:r w:rsidRPr="00537E1A">
            <w:rPr>
              <w:rStyle w:val="PlaceholderText"/>
            </w:rPr>
            <w:t>Click or tap here to enter text.</w:t>
          </w:r>
        </w:p>
      </w:docPartBody>
    </w:docPart>
    <w:docPart>
      <w:docPartPr>
        <w:name w:val="FA21537662EF49BE9D84ED75A036551A"/>
        <w:category>
          <w:name w:val="General"/>
          <w:gallery w:val="placeholder"/>
        </w:category>
        <w:types>
          <w:type w:val="bbPlcHdr"/>
        </w:types>
        <w:behaviors>
          <w:behavior w:val="content"/>
        </w:behaviors>
        <w:guid w:val="{EE1B5367-5B31-46AE-ABB3-009699C8B394}"/>
      </w:docPartPr>
      <w:docPartBody>
        <w:p w:rsidR="00684721" w:rsidRDefault="001D58AD" w:rsidP="001D58AD">
          <w:pPr>
            <w:pStyle w:val="FA21537662EF49BE9D84ED75A036551A"/>
          </w:pPr>
          <w:r w:rsidRPr="00537E1A">
            <w:rPr>
              <w:rStyle w:val="PlaceholderText"/>
            </w:rPr>
            <w:t>Click or tap here to enter text.</w:t>
          </w:r>
        </w:p>
      </w:docPartBody>
    </w:docPart>
    <w:docPart>
      <w:docPartPr>
        <w:name w:val="433849FA597A447EA9F064DFA172C712"/>
        <w:category>
          <w:name w:val="General"/>
          <w:gallery w:val="placeholder"/>
        </w:category>
        <w:types>
          <w:type w:val="bbPlcHdr"/>
        </w:types>
        <w:behaviors>
          <w:behavior w:val="content"/>
        </w:behaviors>
        <w:guid w:val="{CC4212D2-F431-42AF-8531-09CA1C95EAAD}"/>
      </w:docPartPr>
      <w:docPartBody>
        <w:p w:rsidR="00684721" w:rsidRDefault="001D58AD" w:rsidP="001D58AD">
          <w:pPr>
            <w:pStyle w:val="433849FA597A447EA9F064DFA172C712"/>
          </w:pPr>
          <w:r w:rsidRPr="00537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012FAA"/>
    <w:rsid w:val="000A7961"/>
    <w:rsid w:val="001D58AD"/>
    <w:rsid w:val="00267C7A"/>
    <w:rsid w:val="00684721"/>
    <w:rsid w:val="00D74A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1D58AD"/>
    <w:rPr>
      <w:color w:val="808080"/>
    </w:rPr>
  </w:style>
  <w:style w:type="paragraph" w:customStyle="1" w:styleId="FE388924C7014A278C6170074730A7D1">
    <w:name w:val="FE388924C7014A278C6170074730A7D1"/>
    <w:rsid w:val="001D58AD"/>
  </w:style>
  <w:style w:type="paragraph" w:customStyle="1" w:styleId="A235012BFD1846CAB617CEC219CB10D8">
    <w:name w:val="A235012BFD1846CAB617CEC219CB10D8"/>
    <w:rsid w:val="001D58AD"/>
  </w:style>
  <w:style w:type="paragraph" w:customStyle="1" w:styleId="D268E17E4BB9447FA671C98991A2FAE5">
    <w:name w:val="D268E17E4BB9447FA671C98991A2FAE5"/>
    <w:rsid w:val="001D58AD"/>
  </w:style>
  <w:style w:type="paragraph" w:customStyle="1" w:styleId="FA21537662EF49BE9D84ED75A036551A">
    <w:name w:val="FA21537662EF49BE9D84ED75A036551A"/>
    <w:rsid w:val="001D58AD"/>
  </w:style>
  <w:style w:type="paragraph" w:customStyle="1" w:styleId="433849FA597A447EA9F064DFA172C712">
    <w:name w:val="433849FA597A447EA9F064DFA172C712"/>
    <w:rsid w:val="001D5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505974a-77ee-4161-a489-f6308efe64f7" xsi:nil="true"/>
    <SharedWithUsers xmlns="05bf84e9-d812-4326-9d80-9e745f181f5d">
      <UserInfo>
        <DisplayName/>
        <AccountId xsi:nil="true"/>
        <AccountType/>
      </UserInfo>
    </SharedWithUsers>
    <MediaLengthInSeconds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8" ma:contentTypeDescription="Create a new document." ma:contentTypeScope="" ma:versionID="9eed8037b31d0ef0c292808c26cac191">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f9c64f5ba92d5c32f3308354a568e84b"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D8EBC-0E51-4451-9A99-92702579B09F}">
  <ds:schemaRefs>
    <ds:schemaRef ds:uri="http://schemas.microsoft.com/sharepoint/v3/contenttype/forms"/>
  </ds:schemaRefs>
</ds:datastoreItem>
</file>

<file path=customXml/itemProps2.xml><?xml version="1.0" encoding="utf-8"?>
<ds:datastoreItem xmlns:ds="http://schemas.openxmlformats.org/officeDocument/2006/customXml" ds:itemID="{A362C35B-91B8-4EED-B46E-74B96F106C71}">
  <ds:schemaRefs>
    <ds:schemaRef ds:uri="http://schemas.microsoft.com/office/2006/metadata/properties"/>
    <ds:schemaRef ds:uri="http://schemas.microsoft.com/office/infopath/2007/PartnerControls"/>
    <ds:schemaRef ds:uri="a505974a-77ee-4161-a489-f6308efe64f7"/>
    <ds:schemaRef ds:uri="05bf84e9-d812-4326-9d80-9e745f181f5d"/>
  </ds:schemaRefs>
</ds:datastoreItem>
</file>

<file path=customXml/itemProps3.xml><?xml version="1.0" encoding="utf-8"?>
<ds:datastoreItem xmlns:ds="http://schemas.openxmlformats.org/officeDocument/2006/customXml" ds:itemID="{E10F6F14-51CD-46B9-BC63-DDF8DCAE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5974a-77ee-4161-a489-f6308efe64f7"/>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Day (Furrowfield)</dc:creator>
  <cp:keywords/>
  <dc:description/>
  <cp:lastModifiedBy>Kathryn Mitchell</cp:lastModifiedBy>
  <cp:revision>2</cp:revision>
  <dcterms:created xsi:type="dcterms:W3CDTF">2023-11-16T14:35:00Z</dcterms:created>
  <dcterms:modified xsi:type="dcterms:W3CDTF">2023-11-16T14:35:00Z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Order">
    <vt:r8>3729100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